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04" w:rsidRPr="002A21BF" w:rsidRDefault="00833504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sz w:val="16"/>
          <w:szCs w:val="16"/>
        </w:rPr>
        <w:t>Tabla nº 1. Generaciones del e-learning según hizo Karrer (2007).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833504" w:rsidRPr="002A21BF" w:rsidTr="00833504">
        <w:trPr>
          <w:tblHeader/>
        </w:trPr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E-learning 1.0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E-learning 1.3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E-learning 2.0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Componentes principales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Courseware</w:t>
            </w:r>
            <w:proofErr w:type="spellEnd"/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LMSs</w:t>
            </w:r>
            <w:proofErr w:type="spellEnd"/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Herramientas de autor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Referencias híbridas </w:t>
            </w: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LCMs</w:t>
            </w:r>
            <w:proofErr w:type="spellEnd"/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Herramientas de autor rápidas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Wikis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Herramientas de redes y marcadores sociales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Blogs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Aplicaciones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Mash</w:t>
            </w:r>
            <w:proofErr w:type="spellEnd"/>
            <w:r w:rsidRPr="002A21BF">
              <w:rPr>
                <w:rFonts w:ascii="Georgia" w:hAnsi="Georgia" w:cs="Arial"/>
                <w:sz w:val="16"/>
                <w:szCs w:val="16"/>
              </w:rPr>
              <w:t>-ups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Propietario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De arriba abajo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Unidireccional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De arriba a abajo, colaborativo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De abajo a arriba</w:t>
            </w:r>
          </w:p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Responsabilidad del estudiante, aprendizaje entre pares.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Tiempo de desarrollo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Largo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Rápido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Ninguno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Tamaño del contenido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60 minutos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15 minutos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1 minuto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Tiempo de acceso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Antes del acceso al trabajo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In </w:t>
            </w: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between</w:t>
            </w:r>
            <w:proofErr w:type="spellEnd"/>
            <w:r w:rsidRPr="002A21BF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work</w:t>
            </w:r>
            <w:proofErr w:type="spellEnd"/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Durante el trabajo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Reuniones virtuales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Aula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Intro</w:t>
            </w:r>
            <w:proofErr w:type="spellEnd"/>
            <w:r w:rsidRPr="002A21BF">
              <w:rPr>
                <w:rFonts w:ascii="Georgia" w:hAnsi="Georgia" w:cs="Arial"/>
                <w:sz w:val="16"/>
                <w:szCs w:val="16"/>
              </w:rPr>
              <w:t>. En la oficina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Pares, expertos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Entrega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Al mismo tiempo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En muchas piezas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Cuando lo necesites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Control de acceso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LMS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Email. Internet.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Búsqueda, RSS </w:t>
            </w: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feed</w:t>
            </w:r>
            <w:proofErr w:type="spellEnd"/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Conductor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Diseñador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Alumno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Trabajador</w:t>
            </w:r>
          </w:p>
        </w:tc>
      </w:tr>
      <w:tr w:rsidR="00833504" w:rsidRPr="002A21BF" w:rsidTr="00E30C58"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Creador de comentarios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Diseñador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SME</w:t>
            </w:r>
          </w:p>
        </w:tc>
        <w:tc>
          <w:tcPr>
            <w:tcW w:w="2161" w:type="dxa"/>
          </w:tcPr>
          <w:p w:rsidR="00833504" w:rsidRPr="002A21BF" w:rsidRDefault="00833504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Usuario</w:t>
            </w:r>
          </w:p>
        </w:tc>
      </w:tr>
    </w:tbl>
    <w:p w:rsidR="00833504" w:rsidRPr="002A21BF" w:rsidRDefault="00833504" w:rsidP="00D44ACD">
      <w:pPr>
        <w:spacing w:line="240" w:lineRule="auto"/>
        <w:rPr>
          <w:rFonts w:ascii="Georgia" w:hAnsi="Georgia" w:cs="Arial"/>
          <w:sz w:val="16"/>
          <w:szCs w:val="16"/>
        </w:rPr>
      </w:pPr>
    </w:p>
    <w:p w:rsidR="00D80AF9" w:rsidRPr="002A21BF" w:rsidRDefault="00D80AF9" w:rsidP="00D44ACD">
      <w:pPr>
        <w:spacing w:line="240" w:lineRule="auto"/>
        <w:rPr>
          <w:rFonts w:ascii="Georgia" w:hAnsi="Georgia" w:cs="Arial"/>
          <w:sz w:val="16"/>
          <w:szCs w:val="16"/>
        </w:rPr>
      </w:pPr>
    </w:p>
    <w:p w:rsidR="00D80AF9" w:rsidRPr="002A21BF" w:rsidRDefault="00D80AF9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sz w:val="16"/>
          <w:szCs w:val="16"/>
        </w:rPr>
        <w:t xml:space="preserve">Tabla nº 2. Fases en los productos tecnológicos de innovación en el aprendizaje de </w:t>
      </w:r>
      <w:proofErr w:type="spellStart"/>
      <w:r w:rsidRPr="002A21BF">
        <w:rPr>
          <w:rFonts w:ascii="Georgia" w:hAnsi="Georgia" w:cs="Arial"/>
          <w:sz w:val="16"/>
          <w:szCs w:val="16"/>
        </w:rPr>
        <w:t>Atkins</w:t>
      </w:r>
      <w:proofErr w:type="spellEnd"/>
      <w:r w:rsidRPr="002A21BF">
        <w:rPr>
          <w:rFonts w:ascii="Georgia" w:hAnsi="Georgia" w:cs="Arial"/>
          <w:sz w:val="16"/>
          <w:szCs w:val="16"/>
        </w:rPr>
        <w:t xml:space="preserve"> (2007) </w:t>
      </w:r>
      <w:r w:rsidR="00A14839" w:rsidRPr="002A21BF">
        <w:rPr>
          <w:rFonts w:ascii="Georgia" w:hAnsi="Georgia" w:cs="Arial"/>
          <w:sz w:val="16"/>
          <w:szCs w:val="16"/>
        </w:rPr>
        <w:t>(Adaptado por Castaño</w:t>
      </w:r>
      <w:r w:rsidRPr="002A21BF">
        <w:rPr>
          <w:rFonts w:ascii="Georgia" w:hAnsi="Georgia" w:cs="Arial"/>
          <w:sz w:val="16"/>
          <w:szCs w:val="16"/>
        </w:rPr>
        <w:t>, 2009).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D80AF9" w:rsidRPr="002A21BF" w:rsidTr="00D80AF9">
        <w:trPr>
          <w:tblHeader/>
        </w:trPr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Primera ola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Segunda ola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2A21BF">
              <w:rPr>
                <w:rFonts w:ascii="Georgia" w:hAnsi="Georgia" w:cs="Arial"/>
                <w:b/>
                <w:sz w:val="16"/>
                <w:szCs w:val="16"/>
              </w:rPr>
              <w:t>Tercera Ola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Plataforma de aprendizaje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Software propietario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Open </w:t>
            </w:r>
            <w:proofErr w:type="spellStart"/>
            <w:r w:rsidRPr="002A21BF">
              <w:rPr>
                <w:rFonts w:ascii="Georgia" w:hAnsi="Georgia" w:cs="Arial"/>
                <w:sz w:val="16"/>
                <w:szCs w:val="16"/>
              </w:rPr>
              <w:t>source</w:t>
            </w:r>
            <w:proofErr w:type="spellEnd"/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Aprendizaje abierto (web 2.0).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Licencia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Cuota de pago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Gratuita con algunas restricciones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Ninguna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Se propone como valor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producto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servicio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La comunidad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Tipo de producto dominante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LMS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CMS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 determinar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Modelo de negocio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Cuota por licencia de uso individual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Cuota por servicio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Publicidad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Centrado en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Administradores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Profesionales 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Estudiantes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Paradigma de aprendizaje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Cumplimiento de tareas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Grupos personalizados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Personalización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Resultados claves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Informes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Cursos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Mapas expertos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Objetivo prioritario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Reducción costes y mejora cuota de mercado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Transferencia de conocimiento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Establecimiento de redes sociales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Rol del instructor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Experto en la materia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Integral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Participativo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lastRenderedPageBreak/>
              <w:t>Control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Diseñadores de la educación</w:t>
            </w:r>
          </w:p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Profesores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Estudiantes</w:t>
            </w:r>
          </w:p>
        </w:tc>
      </w:tr>
      <w:tr w:rsidR="00D80AF9" w:rsidRPr="002A21BF" w:rsidTr="00E30C58"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Innovación principal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Entrega de la información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Adaptación pedagógica</w:t>
            </w:r>
          </w:p>
        </w:tc>
        <w:tc>
          <w:tcPr>
            <w:tcW w:w="2161" w:type="dxa"/>
          </w:tcPr>
          <w:p w:rsidR="00D80AF9" w:rsidRPr="002A21BF" w:rsidRDefault="00D80AF9" w:rsidP="00A14839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Ingeniería social</w:t>
            </w:r>
          </w:p>
        </w:tc>
      </w:tr>
    </w:tbl>
    <w:p w:rsidR="00D80AF9" w:rsidRPr="002A21BF" w:rsidRDefault="00D80AF9" w:rsidP="00D44ACD">
      <w:pPr>
        <w:spacing w:line="240" w:lineRule="auto"/>
        <w:rPr>
          <w:rFonts w:ascii="Georgia" w:hAnsi="Georgia" w:cs="Arial"/>
          <w:sz w:val="16"/>
          <w:szCs w:val="16"/>
        </w:rPr>
      </w:pPr>
    </w:p>
    <w:p w:rsidR="00A14839" w:rsidRPr="002A21BF" w:rsidRDefault="00A14839" w:rsidP="00D44A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0"/>
        </w:tabs>
        <w:spacing w:line="240" w:lineRule="auto"/>
        <w:rPr>
          <w:rFonts w:ascii="Georgia" w:hAnsi="Georgia" w:cs="Arial"/>
          <w:sz w:val="16"/>
          <w:szCs w:val="16"/>
        </w:rPr>
      </w:pPr>
    </w:p>
    <w:p w:rsidR="005F72DB" w:rsidRPr="002A21BF" w:rsidRDefault="005F72DB" w:rsidP="00D44A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0"/>
        </w:tabs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sz w:val="16"/>
          <w:szCs w:val="16"/>
        </w:rPr>
        <w:t>Fig. nº 1.- Etapas de evolución del e-learning</w:t>
      </w:r>
    </w:p>
    <w:p w:rsidR="00D93472" w:rsidRPr="002A21BF" w:rsidRDefault="007C4EAA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noProof/>
          <w:sz w:val="16"/>
          <w:szCs w:val="16"/>
          <w:lang w:eastAsia="es-ES"/>
        </w:rPr>
        <w:drawing>
          <wp:inline distT="0" distB="0" distL="0" distR="0">
            <wp:extent cx="5396230" cy="180228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840" b="19815"/>
                    <a:stretch/>
                  </pic:blipFill>
                  <pic:spPr bwMode="auto">
                    <a:xfrm>
                      <a:off x="0" y="0"/>
                      <a:ext cx="5396230" cy="18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BD" w:rsidRPr="002A21BF" w:rsidRDefault="009213BD" w:rsidP="00D44ACD">
      <w:pPr>
        <w:spacing w:line="240" w:lineRule="auto"/>
        <w:rPr>
          <w:rFonts w:ascii="Georgia" w:hAnsi="Georgia" w:cs="Arial"/>
          <w:sz w:val="16"/>
          <w:szCs w:val="16"/>
        </w:rPr>
      </w:pPr>
    </w:p>
    <w:p w:rsidR="009213BD" w:rsidRPr="002A21BF" w:rsidRDefault="009213BD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sz w:val="16"/>
          <w:szCs w:val="16"/>
        </w:rPr>
        <w:t>Tabla nº 3</w:t>
      </w:r>
      <w:r w:rsidR="00A14839" w:rsidRPr="002A21BF">
        <w:rPr>
          <w:rFonts w:ascii="Georgia" w:hAnsi="Georgia" w:cs="Arial"/>
          <w:sz w:val="16"/>
          <w:szCs w:val="16"/>
        </w:rPr>
        <w:t>.</w:t>
      </w:r>
      <w:r w:rsidRPr="002A21BF">
        <w:rPr>
          <w:rFonts w:ascii="Georgia" w:hAnsi="Georgia" w:cs="Arial"/>
          <w:sz w:val="16"/>
          <w:szCs w:val="16"/>
        </w:rPr>
        <w:t xml:space="preserve"> Diferencias entre el e-learning 1.0 y 2.0 (</w:t>
      </w:r>
      <w:proofErr w:type="spellStart"/>
      <w:r w:rsidRPr="002A21BF">
        <w:rPr>
          <w:rFonts w:ascii="Georgia" w:hAnsi="Georgia" w:cs="Arial"/>
          <w:sz w:val="16"/>
          <w:szCs w:val="16"/>
        </w:rPr>
        <w:t>Sbnihi</w:t>
      </w:r>
      <w:proofErr w:type="spellEnd"/>
      <w:r w:rsidRPr="002A21BF">
        <w:rPr>
          <w:rFonts w:ascii="Georgia" w:hAnsi="Georgia" w:cs="Arial"/>
          <w:sz w:val="16"/>
          <w:szCs w:val="16"/>
        </w:rPr>
        <w:t xml:space="preserve"> y </w:t>
      </w:r>
      <w:proofErr w:type="spellStart"/>
      <w:r w:rsidRPr="002A21BF">
        <w:rPr>
          <w:rFonts w:ascii="Georgia" w:hAnsi="Georgia" w:cs="Arial"/>
          <w:sz w:val="16"/>
          <w:szCs w:val="16"/>
        </w:rPr>
        <w:t>Eddine</w:t>
      </w:r>
      <w:proofErr w:type="spellEnd"/>
      <w:r w:rsidRPr="002A21BF">
        <w:rPr>
          <w:rFonts w:ascii="Georgia" w:hAnsi="Georgia" w:cs="Arial"/>
          <w:sz w:val="16"/>
          <w:szCs w:val="16"/>
        </w:rPr>
        <w:t>, 2010, 4).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213BD" w:rsidRPr="002A21BF" w:rsidTr="00E30C58">
        <w:tc>
          <w:tcPr>
            <w:tcW w:w="4322" w:type="dxa"/>
          </w:tcPr>
          <w:p w:rsidR="009213BD" w:rsidRPr="002A21BF" w:rsidRDefault="009213BD" w:rsidP="00D44ACD">
            <w:pPr>
              <w:spacing w:line="240" w:lineRule="auto"/>
              <w:jc w:val="center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E-learning 1.0</w:t>
            </w:r>
          </w:p>
        </w:tc>
        <w:tc>
          <w:tcPr>
            <w:tcW w:w="4322" w:type="dxa"/>
          </w:tcPr>
          <w:p w:rsidR="009213BD" w:rsidRPr="002A21BF" w:rsidRDefault="009213BD" w:rsidP="00D44ACD">
            <w:pPr>
              <w:spacing w:line="240" w:lineRule="auto"/>
              <w:jc w:val="center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E-learning 2.0</w:t>
            </w:r>
          </w:p>
        </w:tc>
      </w:tr>
      <w:tr w:rsidR="009213BD" w:rsidRPr="002A21BF" w:rsidTr="00E30C58">
        <w:tc>
          <w:tcPr>
            <w:tcW w:w="4322" w:type="dxa"/>
          </w:tcPr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 xml:space="preserve">Plataforma LMS y LCMS.                             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Basado en el profesor.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profesor produce.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estudiante es espectador.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Intercambio con la clase.</w:t>
            </w:r>
          </w:p>
        </w:tc>
        <w:tc>
          <w:tcPr>
            <w:tcW w:w="4322" w:type="dxa"/>
          </w:tcPr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Herramientas de la web 2.0.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Basado en el estudiante.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profesor valida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El estudiante es productor.</w:t>
            </w:r>
          </w:p>
          <w:p w:rsidR="009213BD" w:rsidRPr="002A21BF" w:rsidRDefault="009213BD" w:rsidP="00D44ACD">
            <w:pPr>
              <w:spacing w:line="240" w:lineRule="auto"/>
              <w:rPr>
                <w:rFonts w:ascii="Georgia" w:hAnsi="Georgia" w:cs="Arial"/>
                <w:sz w:val="16"/>
                <w:szCs w:val="16"/>
              </w:rPr>
            </w:pPr>
            <w:r w:rsidRPr="002A21BF">
              <w:rPr>
                <w:rFonts w:ascii="Georgia" w:hAnsi="Georgia" w:cs="Arial"/>
                <w:sz w:val="16"/>
                <w:szCs w:val="16"/>
              </w:rPr>
              <w:t>Intercambio con la comunidad.</w:t>
            </w:r>
          </w:p>
        </w:tc>
      </w:tr>
    </w:tbl>
    <w:p w:rsidR="009213BD" w:rsidRPr="002A21BF" w:rsidRDefault="009213BD" w:rsidP="00D44ACD">
      <w:pPr>
        <w:spacing w:line="240" w:lineRule="auto"/>
        <w:jc w:val="center"/>
        <w:rPr>
          <w:rFonts w:ascii="Georgia" w:hAnsi="Georgia" w:cs="Arial"/>
          <w:sz w:val="16"/>
          <w:szCs w:val="16"/>
        </w:rPr>
      </w:pPr>
    </w:p>
    <w:p w:rsidR="008425EC" w:rsidRPr="002A21BF" w:rsidRDefault="008425EC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sz w:val="16"/>
          <w:szCs w:val="16"/>
        </w:rPr>
        <w:t>Figura nº 2. Ecosistema de formación virtual.</w:t>
      </w:r>
      <w:bookmarkStart w:id="0" w:name="_GoBack"/>
      <w:bookmarkEnd w:id="0"/>
    </w:p>
    <w:p w:rsidR="008425EC" w:rsidRPr="002A21BF" w:rsidRDefault="008425EC" w:rsidP="00D44ACD">
      <w:pPr>
        <w:spacing w:line="240" w:lineRule="auto"/>
        <w:rPr>
          <w:rFonts w:ascii="Georgia" w:hAnsi="Georgia" w:cs="Arial"/>
          <w:sz w:val="16"/>
          <w:szCs w:val="16"/>
        </w:rPr>
      </w:pPr>
      <w:r w:rsidRPr="002A21BF">
        <w:rPr>
          <w:rFonts w:ascii="Georgia" w:hAnsi="Georgia" w:cs="Arial"/>
          <w:noProof/>
          <w:sz w:val="16"/>
          <w:szCs w:val="16"/>
          <w:lang w:eastAsia="es-ES"/>
        </w:rPr>
        <w:lastRenderedPageBreak/>
        <w:drawing>
          <wp:inline distT="0" distB="0" distL="0" distR="0">
            <wp:extent cx="4572635" cy="34296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25EC" w:rsidRPr="002A21BF" w:rsidSect="002562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833504"/>
    <w:rsid w:val="002562DB"/>
    <w:rsid w:val="002A21BF"/>
    <w:rsid w:val="00456AA3"/>
    <w:rsid w:val="005F72DB"/>
    <w:rsid w:val="007C4EAA"/>
    <w:rsid w:val="00833504"/>
    <w:rsid w:val="008425EC"/>
    <w:rsid w:val="00856215"/>
    <w:rsid w:val="009213BD"/>
    <w:rsid w:val="00A14839"/>
    <w:rsid w:val="00AF1641"/>
    <w:rsid w:val="00CF20A7"/>
    <w:rsid w:val="00D44ACD"/>
    <w:rsid w:val="00D80AF9"/>
    <w:rsid w:val="00D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4"/>
    <w:pPr>
      <w:spacing w:after="200" w:line="312" w:lineRule="auto"/>
      <w:jc w:val="both"/>
    </w:pPr>
    <w:rPr>
      <w:rFonts w:ascii="Times New Roman" w:eastAsiaTheme="minorHAnsi" w:hAnsi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3504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2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DB"/>
    <w:rPr>
      <w:rFonts w:ascii="Lucida Grande" w:eastAsiaTheme="minorHAnsi" w:hAnsi="Lucida Grande" w:cs="Lucida Grande"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4"/>
    <w:pPr>
      <w:spacing w:after="200" w:line="312" w:lineRule="auto"/>
      <w:jc w:val="both"/>
    </w:pPr>
    <w:rPr>
      <w:rFonts w:ascii="Times New Roman" w:eastAsiaTheme="minorHAnsi" w:hAnsi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3504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2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DB"/>
    <w:rPr>
      <w:rFonts w:ascii="Lucida Grande" w:eastAsiaTheme="minorHAnsi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2081</Characters>
  <Application>Microsoft Office Word</Application>
  <DocSecurity>0</DocSecurity>
  <Lines>17</Lines>
  <Paragraphs>4</Paragraphs>
  <ScaleCrop>false</ScaleCrop>
  <Company>UNIVERSIDAD DE SEVILLA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CARMEN LLORENTE CEJUDO</dc:creator>
  <cp:lastModifiedBy>Margarita</cp:lastModifiedBy>
  <cp:revision>2</cp:revision>
  <dcterms:created xsi:type="dcterms:W3CDTF">2012-12-18T11:57:00Z</dcterms:created>
  <dcterms:modified xsi:type="dcterms:W3CDTF">2012-12-18T11:57:00Z</dcterms:modified>
</cp:coreProperties>
</file>